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2042" w14:textId="77777777" w:rsidR="00783AB2" w:rsidRDefault="00783AB2" w:rsidP="00783AB2">
      <w:pPr>
        <w:spacing w:before="100" w:beforeAutospacing="1" w:after="100" w:afterAutospacing="1" w:line="240" w:lineRule="auto"/>
        <w:rPr>
          <w:rFonts w:eastAsia="Times New Roman" w:cs="Times New Roman"/>
          <w:b/>
          <w:bCs/>
          <w:kern w:val="0"/>
          <w:lang w:eastAsia="en-GB"/>
          <w14:ligatures w14:val="none"/>
        </w:rPr>
      </w:pPr>
    </w:p>
    <w:p w14:paraId="43FA522E" w14:textId="6309B88A" w:rsidR="00783AB2" w:rsidRPr="00783AB2" w:rsidRDefault="00783AB2" w:rsidP="00783AB2">
      <w:pPr>
        <w:spacing w:before="100" w:beforeAutospacing="1" w:after="100" w:afterAutospacing="1" w:line="240" w:lineRule="auto"/>
        <w:jc w:val="center"/>
        <w:rPr>
          <w:rFonts w:eastAsia="Times New Roman" w:cs="Times New Roman"/>
          <w:i/>
          <w:iCs/>
          <w:kern w:val="0"/>
          <w:sz w:val="24"/>
          <w:szCs w:val="24"/>
          <w:lang w:eastAsia="en-GB"/>
          <w14:ligatures w14:val="none"/>
        </w:rPr>
      </w:pPr>
      <w:r w:rsidRPr="00783AB2">
        <w:rPr>
          <w:rFonts w:eastAsia="Times New Roman" w:cs="Times New Roman"/>
          <w:b/>
          <w:bCs/>
          <w:kern w:val="0"/>
          <w:sz w:val="24"/>
          <w:szCs w:val="24"/>
          <w:lang w:eastAsia="en-GB"/>
          <w14:ligatures w14:val="none"/>
        </w:rPr>
        <w:t xml:space="preserve">SEND &amp; EAL (English as Additional </w:t>
      </w:r>
      <w:proofErr w:type="gramStart"/>
      <w:r w:rsidRPr="00783AB2">
        <w:rPr>
          <w:rFonts w:eastAsia="Times New Roman" w:cs="Times New Roman"/>
          <w:b/>
          <w:bCs/>
          <w:kern w:val="0"/>
          <w:sz w:val="24"/>
          <w:szCs w:val="24"/>
          <w:lang w:eastAsia="en-GB"/>
          <w14:ligatures w14:val="none"/>
        </w:rPr>
        <w:t xml:space="preserve">Language)  </w:t>
      </w:r>
      <w:r w:rsidRPr="00783AB2">
        <w:rPr>
          <w:rFonts w:eastAsia="Times New Roman" w:cs="Times New Roman"/>
          <w:b/>
          <w:bCs/>
          <w:kern w:val="0"/>
          <w:sz w:val="24"/>
          <w:szCs w:val="24"/>
          <w:lang w:eastAsia="en-GB"/>
          <w14:ligatures w14:val="none"/>
        </w:rPr>
        <w:t>Policy</w:t>
      </w:r>
      <w:proofErr w:type="gramEnd"/>
    </w:p>
    <w:p w14:paraId="6E3152D2"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1. Introduction</w:t>
      </w:r>
    </w:p>
    <w:p w14:paraId="75433B38"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At The Robin Montessori, we are committed to providing an inclusive, nurturing environment in which every child, including those with Special Educational Needs and Disabilities (SEND) or who are learning English as an additional language (EAL), is supported to reach their full potential. We recognise that children develop at different rates and in different ways, and we aim to remove barriers to learning by adapting our approach, resources, and support systems.</w:t>
      </w:r>
    </w:p>
    <w:p w14:paraId="2F43DA24"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This policy is informed by:</w:t>
      </w:r>
    </w:p>
    <w:p w14:paraId="59146839" w14:textId="77777777" w:rsidR="00783AB2" w:rsidRPr="00783AB2" w:rsidRDefault="00783AB2" w:rsidP="00783AB2">
      <w:pPr>
        <w:numPr>
          <w:ilvl w:val="0"/>
          <w:numId w:val="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The Early Years Foundation Stage (EYFS) statutory framework (2025)</w:t>
      </w:r>
    </w:p>
    <w:p w14:paraId="7EEF480B" w14:textId="77777777" w:rsidR="00783AB2" w:rsidRPr="00783AB2" w:rsidRDefault="00783AB2" w:rsidP="00783AB2">
      <w:pPr>
        <w:numPr>
          <w:ilvl w:val="0"/>
          <w:numId w:val="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The SEND Code of Practice: 0 to 25 years and associated early years guidance</w:t>
      </w:r>
    </w:p>
    <w:p w14:paraId="3CABB912" w14:textId="77777777" w:rsidR="00783AB2" w:rsidRPr="00783AB2" w:rsidRDefault="00783AB2" w:rsidP="00783AB2">
      <w:pPr>
        <w:numPr>
          <w:ilvl w:val="0"/>
          <w:numId w:val="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Guidance for supporting children with EAL in early years settings</w:t>
      </w:r>
    </w:p>
    <w:p w14:paraId="0C03393F" w14:textId="1C83EC71" w:rsidR="00783AB2" w:rsidRPr="00783AB2" w:rsidRDefault="00783AB2" w:rsidP="00783AB2">
      <w:pPr>
        <w:numPr>
          <w:ilvl w:val="0"/>
          <w:numId w:val="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The “Birth to 5 Matters” non-statutory guidance, especially for inclusive and equalities-based practice</w:t>
      </w:r>
    </w:p>
    <w:p w14:paraId="62DF2B4E" w14:textId="5EEB82BB"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2. Aims &amp; Objectives</w:t>
      </w:r>
    </w:p>
    <w:p w14:paraId="268D3D7B"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Aims</w:t>
      </w:r>
    </w:p>
    <w:p w14:paraId="137C71FA" w14:textId="77777777" w:rsidR="00783AB2" w:rsidRPr="00783AB2" w:rsidRDefault="00783AB2" w:rsidP="00783AB2">
      <w:pPr>
        <w:numPr>
          <w:ilvl w:val="0"/>
          <w:numId w:val="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To ensure children with SEND and those using EAL are identified early and receive timely, effective support</w:t>
      </w:r>
    </w:p>
    <w:p w14:paraId="282D3294" w14:textId="77777777" w:rsidR="00783AB2" w:rsidRPr="00783AB2" w:rsidRDefault="00783AB2" w:rsidP="00783AB2">
      <w:pPr>
        <w:numPr>
          <w:ilvl w:val="0"/>
          <w:numId w:val="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To foster an inclusive environment in which differences are recognised, valued, and built upon</w:t>
      </w:r>
    </w:p>
    <w:p w14:paraId="68FA186D" w14:textId="77777777" w:rsidR="00783AB2" w:rsidRPr="00783AB2" w:rsidRDefault="00783AB2" w:rsidP="00783AB2">
      <w:pPr>
        <w:numPr>
          <w:ilvl w:val="0"/>
          <w:numId w:val="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To promote high expectations and positive outcomes for all children</w:t>
      </w:r>
    </w:p>
    <w:p w14:paraId="5D88046F"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Objectives</w:t>
      </w:r>
    </w:p>
    <w:p w14:paraId="461EF34F" w14:textId="77777777"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Early Identification &amp; Support</w:t>
      </w:r>
      <w:r w:rsidRPr="00783AB2">
        <w:rPr>
          <w:rFonts w:eastAsia="Times New Roman" w:cs="Times New Roman"/>
          <w:kern w:val="0"/>
          <w:lang w:eastAsia="en-GB"/>
          <w14:ligatures w14:val="none"/>
        </w:rPr>
        <w:t xml:space="preserve"> — Identify children’s additional needs as soon as possible, using observation, assessments, and consultation with families.</w:t>
      </w:r>
    </w:p>
    <w:p w14:paraId="2C690780" w14:textId="77777777"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Graduated Response</w:t>
      </w:r>
      <w:r w:rsidRPr="00783AB2">
        <w:rPr>
          <w:rFonts w:eastAsia="Times New Roman" w:cs="Times New Roman"/>
          <w:kern w:val="0"/>
          <w:lang w:eastAsia="en-GB"/>
          <w14:ligatures w14:val="none"/>
        </w:rPr>
        <w:t xml:space="preserve"> — Use a cycle of Assess → Plan → Do → Review to tailor support (in line with the SEND Code of Practice)</w:t>
      </w:r>
    </w:p>
    <w:p w14:paraId="54517F42" w14:textId="77777777"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Access to the Curriculum</w:t>
      </w:r>
      <w:r w:rsidRPr="00783AB2">
        <w:rPr>
          <w:rFonts w:eastAsia="Times New Roman" w:cs="Times New Roman"/>
          <w:kern w:val="0"/>
          <w:lang w:eastAsia="en-GB"/>
          <w14:ligatures w14:val="none"/>
        </w:rPr>
        <w:t xml:space="preserve"> — Adapt the curriculum and learning environment to remove barriers to participation and learning.</w:t>
      </w:r>
    </w:p>
    <w:p w14:paraId="558BE4F0" w14:textId="77777777"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Collaboration</w:t>
      </w:r>
      <w:r w:rsidRPr="00783AB2">
        <w:rPr>
          <w:rFonts w:eastAsia="Times New Roman" w:cs="Times New Roman"/>
          <w:kern w:val="0"/>
          <w:lang w:eastAsia="en-GB"/>
          <w14:ligatures w14:val="none"/>
        </w:rPr>
        <w:t xml:space="preserve"> — Work in close partnership with parents/carers, external professionals (speech and language, educational psychology, health services, local authority early years SEND team) and other providers.</w:t>
      </w:r>
    </w:p>
    <w:p w14:paraId="72DA9C7B" w14:textId="77777777"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Monitoring &amp; Evaluation</w:t>
      </w:r>
      <w:r w:rsidRPr="00783AB2">
        <w:rPr>
          <w:rFonts w:eastAsia="Times New Roman" w:cs="Times New Roman"/>
          <w:kern w:val="0"/>
          <w:lang w:eastAsia="en-GB"/>
          <w14:ligatures w14:val="none"/>
        </w:rPr>
        <w:t xml:space="preserve"> — Track progress, evaluate the effectiveness of interventions, and adjust support as needed.</w:t>
      </w:r>
    </w:p>
    <w:p w14:paraId="47B21DF5" w14:textId="77777777"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Staff Development</w:t>
      </w:r>
      <w:r w:rsidRPr="00783AB2">
        <w:rPr>
          <w:rFonts w:eastAsia="Times New Roman" w:cs="Times New Roman"/>
          <w:kern w:val="0"/>
          <w:lang w:eastAsia="en-GB"/>
          <w14:ligatures w14:val="none"/>
        </w:rPr>
        <w:t xml:space="preserve"> — Provide regular training and reflective opportunities for staff to develop their knowledge and skills in inclusive practice, SEND, and EAL pedagogy.</w:t>
      </w:r>
    </w:p>
    <w:p w14:paraId="4629359F" w14:textId="26EC06A0" w:rsidR="00783AB2" w:rsidRPr="00783AB2" w:rsidRDefault="00783AB2" w:rsidP="00783AB2">
      <w:pPr>
        <w:numPr>
          <w:ilvl w:val="0"/>
          <w:numId w:val="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Children’s Voice</w:t>
      </w:r>
      <w:r w:rsidRPr="00783AB2">
        <w:rPr>
          <w:rFonts w:eastAsia="Times New Roman" w:cs="Times New Roman"/>
          <w:kern w:val="0"/>
          <w:lang w:eastAsia="en-GB"/>
          <w14:ligatures w14:val="none"/>
        </w:rPr>
        <w:t xml:space="preserve"> — Wherever possible, involve children (appropriate to age) in decision-making about their own support.</w:t>
      </w:r>
    </w:p>
    <w:p w14:paraId="35FAF259"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3. Definitions &amp; Scope</w:t>
      </w:r>
    </w:p>
    <w:p w14:paraId="77301526"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lastRenderedPageBreak/>
        <w:t>SEND</w:t>
      </w:r>
      <w:r w:rsidRPr="00783AB2">
        <w:rPr>
          <w:rFonts w:eastAsia="Times New Roman" w:cs="Times New Roman"/>
          <w:kern w:val="0"/>
          <w:lang w:eastAsia="en-GB"/>
          <w14:ligatures w14:val="none"/>
        </w:rPr>
        <w:br/>
        <w:t>A child has SEND when they have learning difficulties or disabilities which call for special educational provision that is additional to or different from what is normally available to children of the same age.</w:t>
      </w:r>
      <w:r w:rsidRPr="00783AB2">
        <w:rPr>
          <w:rFonts w:eastAsia="Times New Roman" w:cs="Times New Roman"/>
          <w:kern w:val="0"/>
          <w:lang w:eastAsia="en-GB"/>
          <w14:ligatures w14:val="none"/>
        </w:rPr>
        <w:br/>
        <w:t>SEND may cover broad areas of need such as:</w:t>
      </w:r>
    </w:p>
    <w:p w14:paraId="0AA84453" w14:textId="77777777" w:rsidR="00783AB2" w:rsidRPr="00783AB2" w:rsidRDefault="00783AB2" w:rsidP="00783AB2">
      <w:pPr>
        <w:numPr>
          <w:ilvl w:val="0"/>
          <w:numId w:val="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Communication and Interaction</w:t>
      </w:r>
    </w:p>
    <w:p w14:paraId="7451DED1" w14:textId="77777777" w:rsidR="00783AB2" w:rsidRPr="00783AB2" w:rsidRDefault="00783AB2" w:rsidP="00783AB2">
      <w:pPr>
        <w:numPr>
          <w:ilvl w:val="0"/>
          <w:numId w:val="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Cognition and Learning</w:t>
      </w:r>
    </w:p>
    <w:p w14:paraId="03DE00C0" w14:textId="77777777" w:rsidR="00783AB2" w:rsidRPr="00783AB2" w:rsidRDefault="00783AB2" w:rsidP="00783AB2">
      <w:pPr>
        <w:numPr>
          <w:ilvl w:val="0"/>
          <w:numId w:val="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Social, Emotional &amp; Mental Health</w:t>
      </w:r>
    </w:p>
    <w:p w14:paraId="76CF6CEF" w14:textId="77777777" w:rsidR="00783AB2" w:rsidRPr="00783AB2" w:rsidRDefault="00783AB2" w:rsidP="00783AB2">
      <w:pPr>
        <w:numPr>
          <w:ilvl w:val="0"/>
          <w:numId w:val="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Sensory and/or Physical Needs</w:t>
      </w:r>
    </w:p>
    <w:p w14:paraId="0E930CF4"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EAL / English as an Additional Language</w:t>
      </w:r>
      <w:r w:rsidRPr="00783AB2">
        <w:rPr>
          <w:rFonts w:eastAsia="Times New Roman" w:cs="Times New Roman"/>
          <w:kern w:val="0"/>
          <w:lang w:eastAsia="en-GB"/>
          <w14:ligatures w14:val="none"/>
        </w:rPr>
        <w:br/>
        <w:t>Children who use a language at home other than English (or who are learning English alongside their home language). The policy uses “EAL” rather than ESL (English as a Second Language) to reflect broader linguistic contexts and multilingualism.</w:t>
      </w:r>
    </w:p>
    <w:p w14:paraId="44E04838" w14:textId="33F48855"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Note: a child may have both SEND and EAL needs, and we must consider both sets of needs with care.</w:t>
      </w:r>
    </w:p>
    <w:p w14:paraId="6B3F7850"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4. Roles &amp; Responsibilities</w:t>
      </w:r>
    </w:p>
    <w:p w14:paraId="7CF78B72"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Manager / Leadership Team</w:t>
      </w:r>
    </w:p>
    <w:p w14:paraId="3FAD9451" w14:textId="77777777" w:rsidR="00783AB2" w:rsidRPr="00783AB2" w:rsidRDefault="00783AB2" w:rsidP="00783AB2">
      <w:pPr>
        <w:numPr>
          <w:ilvl w:val="0"/>
          <w:numId w:val="5"/>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Ensure that the policy is implemented, and that resources (staffing, training, materials) are allocated to support it</w:t>
      </w:r>
    </w:p>
    <w:p w14:paraId="011FC3AB" w14:textId="77777777" w:rsidR="00783AB2" w:rsidRPr="00783AB2" w:rsidRDefault="00783AB2" w:rsidP="00783AB2">
      <w:pPr>
        <w:numPr>
          <w:ilvl w:val="0"/>
          <w:numId w:val="5"/>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Lead on inclusion, liaise with local authority, monitor outcomes</w:t>
      </w:r>
    </w:p>
    <w:p w14:paraId="3AA21B3D"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SEND / Inclusion Lead (SENCO-equivalent in Early Years)</w:t>
      </w:r>
    </w:p>
    <w:p w14:paraId="77FBBBC4" w14:textId="77777777" w:rsidR="00783AB2" w:rsidRPr="00783AB2" w:rsidRDefault="00783AB2" w:rsidP="00783AB2">
      <w:pPr>
        <w:numPr>
          <w:ilvl w:val="0"/>
          <w:numId w:val="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Oversee identification, assessment and planning for children with additional needs</w:t>
      </w:r>
    </w:p>
    <w:p w14:paraId="0F5F33E2" w14:textId="77777777" w:rsidR="00783AB2" w:rsidRPr="00783AB2" w:rsidRDefault="00783AB2" w:rsidP="00783AB2">
      <w:pPr>
        <w:numPr>
          <w:ilvl w:val="0"/>
          <w:numId w:val="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Maintain records (support plans, reviews, liaison with external agencies)</w:t>
      </w:r>
    </w:p>
    <w:p w14:paraId="52562B4F" w14:textId="77777777" w:rsidR="00783AB2" w:rsidRPr="00783AB2" w:rsidRDefault="00783AB2" w:rsidP="00783AB2">
      <w:pPr>
        <w:numPr>
          <w:ilvl w:val="0"/>
          <w:numId w:val="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guidance to colleagues, lead staff training</w:t>
      </w:r>
    </w:p>
    <w:p w14:paraId="4EC8571B" w14:textId="77777777" w:rsidR="00783AB2" w:rsidRPr="00783AB2" w:rsidRDefault="00783AB2" w:rsidP="00783AB2">
      <w:pPr>
        <w:numPr>
          <w:ilvl w:val="0"/>
          <w:numId w:val="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Link with parents, external professionals, and local Early Years SEND services</w:t>
      </w:r>
    </w:p>
    <w:p w14:paraId="76C285BD"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Key Persons / Practitioners</w:t>
      </w:r>
    </w:p>
    <w:p w14:paraId="1F91A92F" w14:textId="77777777" w:rsidR="00783AB2" w:rsidRPr="00783AB2" w:rsidRDefault="00783AB2" w:rsidP="00783AB2">
      <w:pPr>
        <w:numPr>
          <w:ilvl w:val="0"/>
          <w:numId w:val="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Observe children’s development and identify emerging concerns</w:t>
      </w:r>
    </w:p>
    <w:p w14:paraId="32143DED" w14:textId="77777777" w:rsidR="00783AB2" w:rsidRPr="00783AB2" w:rsidRDefault="00783AB2" w:rsidP="00783AB2">
      <w:pPr>
        <w:numPr>
          <w:ilvl w:val="0"/>
          <w:numId w:val="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Contribute to planning, implementation, and review of support</w:t>
      </w:r>
    </w:p>
    <w:p w14:paraId="4D987C5F" w14:textId="77777777" w:rsidR="00783AB2" w:rsidRPr="00783AB2" w:rsidRDefault="00783AB2" w:rsidP="00783AB2">
      <w:pPr>
        <w:numPr>
          <w:ilvl w:val="0"/>
          <w:numId w:val="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Adjust daily practice, resources, and interactions to meet children’s needs</w:t>
      </w:r>
    </w:p>
    <w:p w14:paraId="6DE82918" w14:textId="77777777" w:rsidR="00783AB2" w:rsidRPr="00783AB2" w:rsidRDefault="00783AB2" w:rsidP="00783AB2">
      <w:pPr>
        <w:numPr>
          <w:ilvl w:val="0"/>
          <w:numId w:val="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Communicate with parents, respecting their views and cultural/linguistic background</w:t>
      </w:r>
    </w:p>
    <w:p w14:paraId="7E7D5CB9"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Parents / Carers</w:t>
      </w:r>
    </w:p>
    <w:p w14:paraId="2A5B31B3" w14:textId="77777777" w:rsidR="00783AB2" w:rsidRPr="00783AB2" w:rsidRDefault="00783AB2" w:rsidP="00783AB2">
      <w:pPr>
        <w:numPr>
          <w:ilvl w:val="0"/>
          <w:numId w:val="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Share information about their child’s home language, developmental history, strengths, and concerns</w:t>
      </w:r>
    </w:p>
    <w:p w14:paraId="078E69B0" w14:textId="77777777" w:rsidR="00783AB2" w:rsidRPr="00783AB2" w:rsidRDefault="00783AB2" w:rsidP="00783AB2">
      <w:pPr>
        <w:numPr>
          <w:ilvl w:val="0"/>
          <w:numId w:val="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Participate in planning and reviews of support</w:t>
      </w:r>
    </w:p>
    <w:p w14:paraId="7D792740" w14:textId="77777777" w:rsidR="00783AB2" w:rsidRPr="00783AB2" w:rsidRDefault="00783AB2" w:rsidP="00783AB2">
      <w:pPr>
        <w:numPr>
          <w:ilvl w:val="0"/>
          <w:numId w:val="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Work collaboratively with the setting and professionals</w:t>
      </w:r>
    </w:p>
    <w:p w14:paraId="2BE3C9CC"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External Partners</w:t>
      </w:r>
    </w:p>
    <w:p w14:paraId="5CC16136" w14:textId="77777777" w:rsidR="00783AB2" w:rsidRPr="00783AB2" w:rsidRDefault="00783AB2" w:rsidP="00783AB2">
      <w:pPr>
        <w:numPr>
          <w:ilvl w:val="0"/>
          <w:numId w:val="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lastRenderedPageBreak/>
        <w:t>Health, Speech and Language Therapy, Educational Psychology, Early Years SEND team, etc.</w:t>
      </w:r>
    </w:p>
    <w:p w14:paraId="01BB471D" w14:textId="77777777" w:rsidR="00783AB2" w:rsidRPr="00783AB2" w:rsidRDefault="00783AB2" w:rsidP="00783AB2">
      <w:pPr>
        <w:numPr>
          <w:ilvl w:val="0"/>
          <w:numId w:val="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assessments, advice, and interventions</w:t>
      </w:r>
    </w:p>
    <w:p w14:paraId="0DE17DC5" w14:textId="40B77508" w:rsidR="00783AB2" w:rsidRPr="00783AB2" w:rsidRDefault="00783AB2" w:rsidP="00783AB2">
      <w:pPr>
        <w:numPr>
          <w:ilvl w:val="0"/>
          <w:numId w:val="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Train or support setting staff where appropriate</w:t>
      </w:r>
    </w:p>
    <w:p w14:paraId="1EA2B597"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5. Identification, Assessment &amp; Planning</w:t>
      </w:r>
    </w:p>
    <w:p w14:paraId="631D33F0"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Observation &amp; Ongoing Assessment</w:t>
      </w:r>
    </w:p>
    <w:p w14:paraId="725E6AB8" w14:textId="77777777" w:rsidR="00783AB2" w:rsidRPr="00783AB2" w:rsidRDefault="00783AB2" w:rsidP="00783AB2">
      <w:pPr>
        <w:numPr>
          <w:ilvl w:val="0"/>
          <w:numId w:val="10"/>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high-quality formative assessment and observation across EYFS learning areas (prime and specific areas) as children engage in play and daily activities.</w:t>
      </w:r>
    </w:p>
    <w:p w14:paraId="2B3105FD" w14:textId="77777777" w:rsidR="00783AB2" w:rsidRPr="00783AB2" w:rsidRDefault="00783AB2" w:rsidP="00783AB2">
      <w:pPr>
        <w:numPr>
          <w:ilvl w:val="0"/>
          <w:numId w:val="10"/>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Be alert to children who are not making expected progress, show developmental delays, or whose behaviours suggest unmet needs</w:t>
      </w:r>
    </w:p>
    <w:p w14:paraId="12BF792E" w14:textId="77777777" w:rsidR="00783AB2" w:rsidRPr="00783AB2" w:rsidRDefault="00783AB2" w:rsidP="00783AB2">
      <w:pPr>
        <w:numPr>
          <w:ilvl w:val="0"/>
          <w:numId w:val="10"/>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tools and formative approaches from “Early Years SEND assessment guidance”</w:t>
      </w:r>
    </w:p>
    <w:p w14:paraId="56988B03"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2-Year Progress Check &amp; Ongoing Reviews</w:t>
      </w:r>
    </w:p>
    <w:p w14:paraId="3519DFDC" w14:textId="77777777" w:rsidR="00783AB2" w:rsidRPr="00783AB2" w:rsidRDefault="00783AB2" w:rsidP="00783AB2">
      <w:pPr>
        <w:numPr>
          <w:ilvl w:val="0"/>
          <w:numId w:val="1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the statutory progress check at age 2 as a key point to assess communication, physical development, personal, social and emotional development</w:t>
      </w:r>
    </w:p>
    <w:p w14:paraId="3CADD8BC" w14:textId="77777777" w:rsidR="00783AB2" w:rsidRPr="00783AB2" w:rsidRDefault="00783AB2" w:rsidP="00783AB2">
      <w:pPr>
        <w:numPr>
          <w:ilvl w:val="0"/>
          <w:numId w:val="1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For children with identified additional needs, schedule more frequent review meetings (e.g. termly)</w:t>
      </w:r>
    </w:p>
    <w:p w14:paraId="746067A8"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Graduated Approach (Assess → Plan → Do → Review)</w:t>
      </w:r>
    </w:p>
    <w:p w14:paraId="31757D30" w14:textId="77777777" w:rsidR="00783AB2" w:rsidRPr="00783AB2" w:rsidRDefault="00783AB2" w:rsidP="00783AB2">
      <w:pPr>
        <w:numPr>
          <w:ilvl w:val="0"/>
          <w:numId w:val="1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Assess</w:t>
      </w:r>
      <w:r w:rsidRPr="00783AB2">
        <w:rPr>
          <w:rFonts w:eastAsia="Times New Roman" w:cs="Times New Roman"/>
          <w:kern w:val="0"/>
          <w:lang w:eastAsia="en-GB"/>
          <w14:ligatures w14:val="none"/>
        </w:rPr>
        <w:t>: gather information from observations, parent input, any specialist assessments</w:t>
      </w:r>
    </w:p>
    <w:p w14:paraId="0350564F" w14:textId="77777777" w:rsidR="00783AB2" w:rsidRPr="00783AB2" w:rsidRDefault="00783AB2" w:rsidP="00783AB2">
      <w:pPr>
        <w:numPr>
          <w:ilvl w:val="0"/>
          <w:numId w:val="1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Plan</w:t>
      </w:r>
      <w:r w:rsidRPr="00783AB2">
        <w:rPr>
          <w:rFonts w:eastAsia="Times New Roman" w:cs="Times New Roman"/>
          <w:kern w:val="0"/>
          <w:lang w:eastAsia="en-GB"/>
          <w14:ligatures w14:val="none"/>
        </w:rPr>
        <w:t>: agree measurable, time-bound targets; decide strategies, interventions and resources</w:t>
      </w:r>
    </w:p>
    <w:p w14:paraId="3C0BCD32" w14:textId="77777777" w:rsidR="00783AB2" w:rsidRPr="00783AB2" w:rsidRDefault="00783AB2" w:rsidP="00783AB2">
      <w:pPr>
        <w:numPr>
          <w:ilvl w:val="0"/>
          <w:numId w:val="1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Do</w:t>
      </w:r>
      <w:r w:rsidRPr="00783AB2">
        <w:rPr>
          <w:rFonts w:eastAsia="Times New Roman" w:cs="Times New Roman"/>
          <w:kern w:val="0"/>
          <w:lang w:eastAsia="en-GB"/>
          <w14:ligatures w14:val="none"/>
        </w:rPr>
        <w:t>: implement the plan, with responsibility and timeframe allocated</w:t>
      </w:r>
    </w:p>
    <w:p w14:paraId="2BCBCF5C" w14:textId="77777777" w:rsidR="00783AB2" w:rsidRPr="00783AB2" w:rsidRDefault="00783AB2" w:rsidP="00783AB2">
      <w:pPr>
        <w:numPr>
          <w:ilvl w:val="0"/>
          <w:numId w:val="1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Review</w:t>
      </w:r>
      <w:r w:rsidRPr="00783AB2">
        <w:rPr>
          <w:rFonts w:eastAsia="Times New Roman" w:cs="Times New Roman"/>
          <w:kern w:val="0"/>
          <w:lang w:eastAsia="en-GB"/>
          <w14:ligatures w14:val="none"/>
        </w:rPr>
        <w:t>: evaluate outcomes, consult with staff and families, revise the plan as needed</w:t>
      </w:r>
    </w:p>
    <w:p w14:paraId="44DEBEE2"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Individual Support Plans (ISPs) / Provision Maps</w:t>
      </w:r>
    </w:p>
    <w:p w14:paraId="304DC25D" w14:textId="77777777" w:rsidR="00783AB2" w:rsidRPr="00783AB2" w:rsidRDefault="00783AB2" w:rsidP="00783AB2">
      <w:pPr>
        <w:numPr>
          <w:ilvl w:val="0"/>
          <w:numId w:val="1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For children with SEND, maintain individualised support plans (e.g. SMART targets, strategies, review dates)</w:t>
      </w:r>
    </w:p>
    <w:p w14:paraId="32263098" w14:textId="77777777" w:rsidR="00783AB2" w:rsidRPr="00783AB2" w:rsidRDefault="00783AB2" w:rsidP="00783AB2">
      <w:pPr>
        <w:numPr>
          <w:ilvl w:val="0"/>
          <w:numId w:val="1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Embed these plans into daily practice rather than isolating them</w:t>
      </w:r>
    </w:p>
    <w:p w14:paraId="7E2303A4" w14:textId="77777777" w:rsidR="00783AB2" w:rsidRPr="00783AB2" w:rsidRDefault="00783AB2" w:rsidP="00783AB2">
      <w:pPr>
        <w:numPr>
          <w:ilvl w:val="0"/>
          <w:numId w:val="1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Document adaptations, scaffolds, resources used, and outcomes</w:t>
      </w:r>
    </w:p>
    <w:p w14:paraId="204FB546"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Reasonable Adjustments</w:t>
      </w:r>
    </w:p>
    <w:p w14:paraId="2CE9FA4D" w14:textId="77777777" w:rsidR="00783AB2" w:rsidRPr="00783AB2" w:rsidRDefault="00783AB2" w:rsidP="00783AB2">
      <w:pPr>
        <w:numPr>
          <w:ilvl w:val="0"/>
          <w:numId w:val="1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Make necessary adjustments in the environment, schedule, resources, equipment, routines, and adult support so the child can access activities fully</w:t>
      </w:r>
    </w:p>
    <w:p w14:paraId="27341478" w14:textId="77777777" w:rsidR="00783AB2" w:rsidRPr="00783AB2" w:rsidRDefault="00783AB2" w:rsidP="00783AB2">
      <w:pPr>
        <w:numPr>
          <w:ilvl w:val="0"/>
          <w:numId w:val="1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assistive technology, visual supports, alternative communication systems as needed</w:t>
      </w:r>
    </w:p>
    <w:p w14:paraId="0E474ECA" w14:textId="77777777" w:rsidR="00783AB2" w:rsidRDefault="00783AB2" w:rsidP="00783AB2">
      <w:pPr>
        <w:spacing w:before="100" w:beforeAutospacing="1" w:after="100" w:afterAutospacing="1" w:line="240" w:lineRule="auto"/>
        <w:rPr>
          <w:rFonts w:eastAsia="Times New Roman" w:cs="Times New Roman"/>
          <w:b/>
          <w:bCs/>
          <w:kern w:val="0"/>
          <w:lang w:eastAsia="en-GB"/>
          <w14:ligatures w14:val="none"/>
        </w:rPr>
      </w:pPr>
    </w:p>
    <w:p w14:paraId="140217CA" w14:textId="591178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Referral for Additional Support / EHC Needs Assessment</w:t>
      </w:r>
    </w:p>
    <w:p w14:paraId="2F574BD8" w14:textId="77777777" w:rsidR="00783AB2" w:rsidRPr="00783AB2" w:rsidRDefault="00783AB2" w:rsidP="00783AB2">
      <w:pPr>
        <w:numPr>
          <w:ilvl w:val="0"/>
          <w:numId w:val="15"/>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lastRenderedPageBreak/>
        <w:t>When, despite best efforts, the child does not make expected progress, consider referral for further specialist support or assessment for an Education, Health and Care (EHC) plan (as per local authority procedures)</w:t>
      </w:r>
    </w:p>
    <w:p w14:paraId="40048E4F" w14:textId="5946C6A1" w:rsidR="00783AB2" w:rsidRPr="00783AB2" w:rsidRDefault="00783AB2" w:rsidP="00783AB2">
      <w:pPr>
        <w:numPr>
          <w:ilvl w:val="0"/>
          <w:numId w:val="15"/>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Maintain evidence of the support already provided (records, progress data, plans, reviews)</w:t>
      </w:r>
    </w:p>
    <w:p w14:paraId="09D43934"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6. Curriculum Access &amp; Adaptive Teaching</w:t>
      </w:r>
    </w:p>
    <w:p w14:paraId="2DA344D3"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Inclusive Curriculum Design</w:t>
      </w:r>
    </w:p>
    <w:p w14:paraId="6B9430AF" w14:textId="77777777" w:rsidR="00783AB2" w:rsidRPr="00783AB2" w:rsidRDefault="00783AB2" w:rsidP="00783AB2">
      <w:pPr>
        <w:numPr>
          <w:ilvl w:val="0"/>
          <w:numId w:val="1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Plan for differentiation, scaffolding, and extension</w:t>
      </w:r>
    </w:p>
    <w:p w14:paraId="2F1CA834" w14:textId="77777777" w:rsidR="00783AB2" w:rsidRPr="00783AB2" w:rsidRDefault="00783AB2" w:rsidP="00783AB2">
      <w:pPr>
        <w:numPr>
          <w:ilvl w:val="0"/>
          <w:numId w:val="1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multi-sensory, play-based, experiential approaches suited to young children</w:t>
      </w:r>
    </w:p>
    <w:p w14:paraId="796DABD4" w14:textId="77777777" w:rsidR="00783AB2" w:rsidRPr="00783AB2" w:rsidRDefault="00783AB2" w:rsidP="00783AB2">
      <w:pPr>
        <w:numPr>
          <w:ilvl w:val="0"/>
          <w:numId w:val="16"/>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opportunities for choice, engagement, and scaffolding</w:t>
      </w:r>
    </w:p>
    <w:p w14:paraId="7F65D527"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EAL / Language Support Strategies</w:t>
      </w:r>
    </w:p>
    <w:p w14:paraId="00AF442A"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a language-rich environment: model clear, grammatically correct English; repeat, expand, and clarify children’s utterances</w:t>
      </w:r>
    </w:p>
    <w:p w14:paraId="5ED6B0A2"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recasting / re-proposing: re-say or model what the child has said with richer vocabulary or structure</w:t>
      </w:r>
    </w:p>
    <w:p w14:paraId="6D432B97"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visual supports: pictures, gestures, objects, visual timetables, photo sequences, bilingual labels, dual-language books</w:t>
      </w:r>
    </w:p>
    <w:p w14:paraId="44EC2502"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Scaffold language: provide within small group or individual interactions, vocabulary in context, play games, songs, stories</w:t>
      </w:r>
    </w:p>
    <w:p w14:paraId="32549FF5"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Maintain and value children’s home language(s) — encourage use of home language in play and culture, particularly in early stages, as this supports cognitive and identity development</w:t>
      </w:r>
    </w:p>
    <w:p w14:paraId="738958DC"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Incorporate comparisons and translation opportunities (for older EAL learners)</w:t>
      </w:r>
    </w:p>
    <w:p w14:paraId="7722EE79" w14:textId="77777777" w:rsidR="00783AB2" w:rsidRPr="00783AB2" w:rsidRDefault="00783AB2" w:rsidP="00783AB2">
      <w:pPr>
        <w:numPr>
          <w:ilvl w:val="0"/>
          <w:numId w:val="17"/>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Avoid overreliance on questioning — instead use commenting and labelling early on</w:t>
      </w:r>
    </w:p>
    <w:p w14:paraId="12239038"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Differentiation for SEND</w:t>
      </w:r>
    </w:p>
    <w:p w14:paraId="79607C59" w14:textId="77777777" w:rsidR="00783AB2" w:rsidRPr="00783AB2" w:rsidRDefault="00783AB2" w:rsidP="00783AB2">
      <w:pPr>
        <w:numPr>
          <w:ilvl w:val="0"/>
          <w:numId w:val="1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Adapt content, process, support, outcome expectations</w:t>
      </w:r>
    </w:p>
    <w:p w14:paraId="058F5188" w14:textId="77777777" w:rsidR="00783AB2" w:rsidRPr="00783AB2" w:rsidRDefault="00783AB2" w:rsidP="00783AB2">
      <w:pPr>
        <w:numPr>
          <w:ilvl w:val="0"/>
          <w:numId w:val="1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scaffolding: chunking tasks, guided modelling, adult support</w:t>
      </w:r>
    </w:p>
    <w:p w14:paraId="663770CC" w14:textId="77777777" w:rsidR="00783AB2" w:rsidRPr="00783AB2" w:rsidRDefault="00783AB2" w:rsidP="00783AB2">
      <w:pPr>
        <w:numPr>
          <w:ilvl w:val="0"/>
          <w:numId w:val="1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alternative ways to respond (e.g. drawing, pointing, gestures, assistive tech)</w:t>
      </w:r>
    </w:p>
    <w:p w14:paraId="77EF2A42" w14:textId="77777777" w:rsidR="00783AB2" w:rsidRPr="00783AB2" w:rsidRDefault="00783AB2" w:rsidP="00783AB2">
      <w:pPr>
        <w:numPr>
          <w:ilvl w:val="0"/>
          <w:numId w:val="1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Pre-teach vocabulary or concepts</w:t>
      </w:r>
    </w:p>
    <w:p w14:paraId="2D351240" w14:textId="77777777" w:rsidR="00783AB2" w:rsidRPr="00783AB2" w:rsidRDefault="00783AB2" w:rsidP="00783AB2">
      <w:pPr>
        <w:numPr>
          <w:ilvl w:val="0"/>
          <w:numId w:val="1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peer support, small-step progression, manipulatives</w:t>
      </w:r>
    </w:p>
    <w:p w14:paraId="6809E6DB" w14:textId="77777777" w:rsidR="00783AB2" w:rsidRPr="00783AB2" w:rsidRDefault="00783AB2" w:rsidP="00783AB2">
      <w:pPr>
        <w:numPr>
          <w:ilvl w:val="0"/>
          <w:numId w:val="18"/>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Incorporate sensory breaks, movement, alternative seating, quiet zones</w:t>
      </w:r>
    </w:p>
    <w:p w14:paraId="5EEA55F2"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t>Environment &amp; Resources</w:t>
      </w:r>
    </w:p>
    <w:p w14:paraId="5EEFFE74" w14:textId="77777777" w:rsidR="00783AB2" w:rsidRPr="00783AB2" w:rsidRDefault="00783AB2" w:rsidP="00783AB2">
      <w:pPr>
        <w:numPr>
          <w:ilvl w:val="0"/>
          <w:numId w:val="1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Organise the physical space to reduce distractions, allow choice, support independence</w:t>
      </w:r>
    </w:p>
    <w:p w14:paraId="1CCFD25A" w14:textId="41278C01" w:rsidR="00783AB2" w:rsidRDefault="00783AB2" w:rsidP="00783AB2">
      <w:pPr>
        <w:numPr>
          <w:ilvl w:val="0"/>
          <w:numId w:val="1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tactile, visual, and auditory materials</w:t>
      </w:r>
    </w:p>
    <w:p w14:paraId="28034D6C" w14:textId="77777777" w:rsidR="00783AB2" w:rsidRPr="00783AB2" w:rsidRDefault="00783AB2" w:rsidP="00783AB2">
      <w:pPr>
        <w:spacing w:before="100" w:beforeAutospacing="1" w:after="100" w:afterAutospacing="1" w:line="240" w:lineRule="auto"/>
        <w:ind w:left="720"/>
        <w:rPr>
          <w:rFonts w:eastAsia="Times New Roman" w:cs="Times New Roman"/>
          <w:kern w:val="0"/>
          <w:lang w:eastAsia="en-GB"/>
          <w14:ligatures w14:val="none"/>
        </w:rPr>
      </w:pPr>
    </w:p>
    <w:p w14:paraId="2D3D67D9" w14:textId="6BC57C44" w:rsidR="00783AB2" w:rsidRPr="00783AB2" w:rsidRDefault="00783AB2" w:rsidP="00783AB2">
      <w:pPr>
        <w:numPr>
          <w:ilvl w:val="0"/>
          <w:numId w:val="1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Ensure that displays, labels, and signs reflect diverse languages and accessible formats</w:t>
      </w:r>
    </w:p>
    <w:p w14:paraId="27C5BC8F" w14:textId="77777777" w:rsidR="00783AB2" w:rsidRPr="00783AB2" w:rsidRDefault="00783AB2" w:rsidP="00783AB2">
      <w:pPr>
        <w:numPr>
          <w:ilvl w:val="0"/>
          <w:numId w:val="19"/>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Regularly audit and refresh resources to ensure relevance and inclusivity</w:t>
      </w:r>
    </w:p>
    <w:p w14:paraId="67DF93C9" w14:textId="77777777" w:rsidR="00783AB2" w:rsidRP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b/>
          <w:bCs/>
          <w:kern w:val="0"/>
          <w:lang w:eastAsia="en-GB"/>
          <w14:ligatures w14:val="none"/>
        </w:rPr>
        <w:lastRenderedPageBreak/>
        <w:t>Transitions &amp; Movement Between Contexts</w:t>
      </w:r>
    </w:p>
    <w:p w14:paraId="07357E0F" w14:textId="77777777" w:rsidR="00783AB2" w:rsidRPr="00783AB2" w:rsidRDefault="00783AB2" w:rsidP="00783AB2">
      <w:pPr>
        <w:numPr>
          <w:ilvl w:val="0"/>
          <w:numId w:val="20"/>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prepared transitions (visual cues, warnings, timers)</w:t>
      </w:r>
    </w:p>
    <w:p w14:paraId="2A31B87A" w14:textId="77777777" w:rsidR="00783AB2" w:rsidRPr="00783AB2" w:rsidRDefault="00783AB2" w:rsidP="00783AB2">
      <w:pPr>
        <w:numPr>
          <w:ilvl w:val="0"/>
          <w:numId w:val="20"/>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Liaise with onward settings (reception, primary school) to support smooth transitions</w:t>
      </w:r>
    </w:p>
    <w:p w14:paraId="30923C9D" w14:textId="424E2AD8" w:rsidR="00783AB2" w:rsidRPr="00783AB2" w:rsidRDefault="00783AB2" w:rsidP="00783AB2">
      <w:pPr>
        <w:numPr>
          <w:ilvl w:val="0"/>
          <w:numId w:val="20"/>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Share SEND / EAL profiles, strategies, and resources with receiving settings</w:t>
      </w:r>
    </w:p>
    <w:p w14:paraId="752C1F02"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7. Parental &amp; Family Engagement</w:t>
      </w:r>
    </w:p>
    <w:p w14:paraId="38AE96F9" w14:textId="77777777" w:rsidR="00783AB2" w:rsidRPr="00783AB2" w:rsidRDefault="00783AB2" w:rsidP="00783AB2">
      <w:pPr>
        <w:numPr>
          <w:ilvl w:val="0"/>
          <w:numId w:val="2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 xml:space="preserve">Initial information </w:t>
      </w:r>
      <w:proofErr w:type="gramStart"/>
      <w:r w:rsidRPr="00783AB2">
        <w:rPr>
          <w:rFonts w:eastAsia="Times New Roman" w:cs="Times New Roman"/>
          <w:kern w:val="0"/>
          <w:lang w:eastAsia="en-GB"/>
          <w14:ligatures w14:val="none"/>
        </w:rPr>
        <w:t>gathering:</w:t>
      </w:r>
      <w:proofErr w:type="gramEnd"/>
      <w:r w:rsidRPr="00783AB2">
        <w:rPr>
          <w:rFonts w:eastAsia="Times New Roman" w:cs="Times New Roman"/>
          <w:kern w:val="0"/>
          <w:lang w:eastAsia="en-GB"/>
          <w14:ligatures w14:val="none"/>
        </w:rPr>
        <w:t xml:space="preserve"> obtain home language information, child’s developmental history, family aspirations</w:t>
      </w:r>
    </w:p>
    <w:p w14:paraId="727B47E9" w14:textId="5E6FC460" w:rsidR="00783AB2" w:rsidRPr="00783AB2" w:rsidRDefault="00783AB2" w:rsidP="00783AB2">
      <w:pPr>
        <w:numPr>
          <w:ilvl w:val="0"/>
          <w:numId w:val="21"/>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regular updates, invite input, and hold collaborative review meetings</w:t>
      </w:r>
    </w:p>
    <w:p w14:paraId="7E82ACDA"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8. Monitoring, Evaluation &amp; Quality Assurance</w:t>
      </w:r>
    </w:p>
    <w:p w14:paraId="762E2718" w14:textId="77777777" w:rsidR="00783AB2" w:rsidRPr="00783AB2" w:rsidRDefault="00783AB2" w:rsidP="00783AB2">
      <w:pPr>
        <w:numPr>
          <w:ilvl w:val="0"/>
          <w:numId w:val="2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Maintain a register of children with SEND / EAL and tracking data</w:t>
      </w:r>
    </w:p>
    <w:p w14:paraId="639EC651" w14:textId="77777777" w:rsidR="00783AB2" w:rsidRPr="00783AB2" w:rsidRDefault="00783AB2" w:rsidP="00783AB2">
      <w:pPr>
        <w:numPr>
          <w:ilvl w:val="0"/>
          <w:numId w:val="2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Monitor outcomes in relation to targets in support plans</w:t>
      </w:r>
    </w:p>
    <w:p w14:paraId="5D2B0257" w14:textId="77777777" w:rsidR="00783AB2" w:rsidRPr="00783AB2" w:rsidRDefault="00783AB2" w:rsidP="00783AB2">
      <w:pPr>
        <w:numPr>
          <w:ilvl w:val="0"/>
          <w:numId w:val="2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Conduct regular internal audits of practice (for example: “inclusion walk-throughs,” peer observations)</w:t>
      </w:r>
    </w:p>
    <w:p w14:paraId="5605B98B" w14:textId="77777777" w:rsidR="00783AB2" w:rsidRPr="00783AB2" w:rsidRDefault="00783AB2" w:rsidP="00783AB2">
      <w:pPr>
        <w:numPr>
          <w:ilvl w:val="0"/>
          <w:numId w:val="2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Use parent and child feedback (as appropriate) about the effectiveness of support</w:t>
      </w:r>
    </w:p>
    <w:p w14:paraId="34ABDF97" w14:textId="77777777" w:rsidR="00783AB2" w:rsidRPr="00783AB2" w:rsidRDefault="00783AB2" w:rsidP="00783AB2">
      <w:pPr>
        <w:numPr>
          <w:ilvl w:val="0"/>
          <w:numId w:val="2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Review policy annually (or sooner if required) and ensure alignment with changes in statutory guidance</w:t>
      </w:r>
    </w:p>
    <w:p w14:paraId="5909DADD" w14:textId="65B89401" w:rsidR="00783AB2" w:rsidRPr="00783AB2" w:rsidRDefault="00783AB2" w:rsidP="00783AB2">
      <w:pPr>
        <w:numPr>
          <w:ilvl w:val="0"/>
          <w:numId w:val="22"/>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Report to leadership / governance on inclusion outcomes, staff training, resource needs</w:t>
      </w:r>
    </w:p>
    <w:p w14:paraId="6A1E3224"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9. Staff Training &amp; Professional Development</w:t>
      </w:r>
    </w:p>
    <w:p w14:paraId="23767176" w14:textId="77777777" w:rsidR="00783AB2" w:rsidRPr="00783AB2" w:rsidRDefault="00783AB2" w:rsidP="00783AB2">
      <w:pPr>
        <w:numPr>
          <w:ilvl w:val="0"/>
          <w:numId w:val="2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Provide induction training on SEND, EAL, inclusive pedagogy</w:t>
      </w:r>
    </w:p>
    <w:p w14:paraId="11EB824E" w14:textId="77777777" w:rsidR="00783AB2" w:rsidRPr="00783AB2" w:rsidRDefault="00783AB2" w:rsidP="00783AB2">
      <w:pPr>
        <w:numPr>
          <w:ilvl w:val="0"/>
          <w:numId w:val="2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Encourage staff to attend workshops, webinars, and local authority training, especially regarding early language, communication, behaviour, and inclusion</w:t>
      </w:r>
    </w:p>
    <w:p w14:paraId="12F293ED" w14:textId="77777777" w:rsidR="00783AB2" w:rsidRPr="00783AB2" w:rsidRDefault="00783AB2" w:rsidP="00783AB2">
      <w:pPr>
        <w:numPr>
          <w:ilvl w:val="0"/>
          <w:numId w:val="2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Promote peer coaching, reflective practice, sharing of case studies and strategies</w:t>
      </w:r>
    </w:p>
    <w:p w14:paraId="7F21974D" w14:textId="77777777" w:rsidR="00783AB2" w:rsidRPr="00783AB2" w:rsidRDefault="00783AB2" w:rsidP="00783AB2">
      <w:pPr>
        <w:numPr>
          <w:ilvl w:val="0"/>
          <w:numId w:val="2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Invite external specialists to provide in-setting support</w:t>
      </w:r>
    </w:p>
    <w:p w14:paraId="5F4B75F9" w14:textId="1502570D" w:rsidR="00783AB2" w:rsidRPr="00783AB2" w:rsidRDefault="00783AB2" w:rsidP="00783AB2">
      <w:pPr>
        <w:numPr>
          <w:ilvl w:val="0"/>
          <w:numId w:val="23"/>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Ensure all staff are familiar with the setting’s support procedures, referral mechanisms, and use of adaptive resources</w:t>
      </w:r>
    </w:p>
    <w:p w14:paraId="6CF9A8AC"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10. Safeguarding, Confidentiality &amp; Records</w:t>
      </w:r>
    </w:p>
    <w:p w14:paraId="40C8B8CF" w14:textId="77777777" w:rsidR="00783AB2" w:rsidRPr="00783AB2" w:rsidRDefault="00783AB2" w:rsidP="00783AB2">
      <w:pPr>
        <w:numPr>
          <w:ilvl w:val="0"/>
          <w:numId w:val="2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Maintain confidentiality of all personal, medical, and assessment information</w:t>
      </w:r>
    </w:p>
    <w:p w14:paraId="6F66AD72" w14:textId="77777777" w:rsidR="00783AB2" w:rsidRPr="00783AB2" w:rsidRDefault="00783AB2" w:rsidP="00783AB2">
      <w:pPr>
        <w:numPr>
          <w:ilvl w:val="0"/>
          <w:numId w:val="2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Store SEND and EAL records in a secure location, sharing only with staff who need to know (and with parental permission)</w:t>
      </w:r>
    </w:p>
    <w:p w14:paraId="5118DCDC" w14:textId="77777777" w:rsidR="00783AB2" w:rsidRPr="00783AB2" w:rsidRDefault="00783AB2" w:rsidP="00783AB2">
      <w:pPr>
        <w:numPr>
          <w:ilvl w:val="0"/>
          <w:numId w:val="24"/>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 xml:space="preserve">Ensure safeguarding practices (as per EYFS / local authority / Ofsted requirements) are </w:t>
      </w:r>
      <w:proofErr w:type="gramStart"/>
      <w:r w:rsidRPr="00783AB2">
        <w:rPr>
          <w:rFonts w:eastAsia="Times New Roman" w:cs="Times New Roman"/>
          <w:kern w:val="0"/>
          <w:lang w:eastAsia="en-GB"/>
          <w14:ligatures w14:val="none"/>
        </w:rPr>
        <w:t>upheld at all times</w:t>
      </w:r>
      <w:proofErr w:type="gramEnd"/>
    </w:p>
    <w:p w14:paraId="1785275E" w14:textId="77777777" w:rsidR="00783AB2" w:rsidRDefault="00783AB2" w:rsidP="00783AB2">
      <w:pPr>
        <w:spacing w:before="100" w:beforeAutospacing="1" w:after="100" w:afterAutospacing="1" w:line="240" w:lineRule="auto"/>
        <w:rPr>
          <w:rFonts w:eastAsia="Times New Roman" w:cs="Times New Roman"/>
          <w:kern w:val="0"/>
          <w:lang w:eastAsia="en-GB"/>
          <w14:ligatures w14:val="none"/>
        </w:rPr>
      </w:pPr>
    </w:p>
    <w:p w14:paraId="714A4494" w14:textId="14A84C55" w:rsidR="00783AB2" w:rsidRPr="00783AB2" w:rsidRDefault="00783AB2" w:rsidP="00783AB2">
      <w:pPr>
        <w:pStyle w:val="ListParagraph"/>
        <w:numPr>
          <w:ilvl w:val="0"/>
          <w:numId w:val="25"/>
        </w:num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t>If children’s additional needs raise safeguarding concerns (e.g. signs of neglect, developmental delays linked to medical or social factors), follow the setting’s safeguarding policy and liaise with relevant agencies</w:t>
      </w:r>
    </w:p>
    <w:p w14:paraId="4935E869" w14:textId="77777777" w:rsidR="00783AB2" w:rsidRPr="00783AB2" w:rsidRDefault="00783AB2" w:rsidP="00783AB2">
      <w:pPr>
        <w:spacing w:before="100" w:beforeAutospacing="1" w:after="100" w:afterAutospacing="1" w:line="240" w:lineRule="auto"/>
        <w:outlineLvl w:val="2"/>
        <w:rPr>
          <w:rFonts w:eastAsia="Times New Roman" w:cs="Times New Roman"/>
          <w:b/>
          <w:bCs/>
          <w:kern w:val="0"/>
          <w:lang w:eastAsia="en-GB"/>
          <w14:ligatures w14:val="none"/>
        </w:rPr>
      </w:pPr>
      <w:r w:rsidRPr="00783AB2">
        <w:rPr>
          <w:rFonts w:eastAsia="Times New Roman" w:cs="Times New Roman"/>
          <w:b/>
          <w:bCs/>
          <w:kern w:val="0"/>
          <w:lang w:eastAsia="en-GB"/>
          <w14:ligatures w14:val="none"/>
        </w:rPr>
        <w:t>11. Review &amp; Policy Maintenance</w:t>
      </w:r>
    </w:p>
    <w:p w14:paraId="1D4BBE71" w14:textId="77777777" w:rsidR="00783AB2" w:rsidRDefault="00783AB2" w:rsidP="00783AB2">
      <w:pPr>
        <w:spacing w:before="100" w:beforeAutospacing="1" w:after="100" w:afterAutospacing="1" w:line="240" w:lineRule="auto"/>
        <w:rPr>
          <w:rFonts w:eastAsia="Times New Roman" w:cs="Times New Roman"/>
          <w:kern w:val="0"/>
          <w:lang w:eastAsia="en-GB"/>
          <w14:ligatures w14:val="none"/>
        </w:rPr>
      </w:pPr>
      <w:r w:rsidRPr="00783AB2">
        <w:rPr>
          <w:rFonts w:eastAsia="Times New Roman" w:cs="Times New Roman"/>
          <w:kern w:val="0"/>
          <w:lang w:eastAsia="en-GB"/>
          <w14:ligatures w14:val="none"/>
        </w:rPr>
        <w:lastRenderedPageBreak/>
        <w:t>This policy will be reviewed annually (or sooner if there are changes in statutory guidance or practice). The review will involve staff, parents/carers, and, where appropriate, children’s input.</w:t>
      </w:r>
    </w:p>
    <w:p w14:paraId="7DC39151" w14:textId="77777777" w:rsidR="00783AB2" w:rsidRDefault="00783AB2" w:rsidP="00783AB2">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Completed by: Agnese Mugnai</w:t>
      </w:r>
    </w:p>
    <w:p w14:paraId="6257EE73" w14:textId="77777777" w:rsidR="00783AB2" w:rsidRDefault="00783AB2" w:rsidP="00783AB2">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Position: Nursery Manager </w:t>
      </w:r>
    </w:p>
    <w:p w14:paraId="258C98BC" w14:textId="58D4B199" w:rsidR="000C0C98" w:rsidRPr="00783AB2" w:rsidRDefault="00783AB2" w:rsidP="00783AB2">
      <w:pPr>
        <w:spacing w:before="100" w:beforeAutospacing="1" w:after="100" w:afterAutospacing="1" w:line="240" w:lineRule="auto"/>
      </w:pPr>
      <w:r w:rsidRPr="00783AB2">
        <w:rPr>
          <w:rFonts w:eastAsia="Times New Roman" w:cs="Times New Roman"/>
          <w:kern w:val="0"/>
          <w:lang w:eastAsia="en-GB"/>
          <w14:ligatures w14:val="none"/>
        </w:rPr>
        <w:br/>
      </w:r>
      <w:r>
        <w:rPr>
          <w:rFonts w:eastAsia="Times New Roman" w:cs="Times New Roman"/>
          <w:kern w:val="0"/>
          <w:lang w:eastAsia="en-GB"/>
          <w14:ligatures w14:val="none"/>
        </w:rPr>
        <w:t>Reviewed on: October 2025</w:t>
      </w:r>
    </w:p>
    <w:sectPr w:rsidR="000C0C98" w:rsidRPr="00783A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976A" w14:textId="77777777" w:rsidR="001B624C" w:rsidRDefault="001B624C" w:rsidP="00783AB2">
      <w:pPr>
        <w:spacing w:after="0" w:line="240" w:lineRule="auto"/>
      </w:pPr>
      <w:r>
        <w:separator/>
      </w:r>
    </w:p>
  </w:endnote>
  <w:endnote w:type="continuationSeparator" w:id="0">
    <w:p w14:paraId="1D48C7DE" w14:textId="77777777" w:rsidR="001B624C" w:rsidRDefault="001B624C" w:rsidP="0078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2C2B" w14:textId="77777777" w:rsidR="001B624C" w:rsidRDefault="001B624C" w:rsidP="00783AB2">
      <w:pPr>
        <w:spacing w:after="0" w:line="240" w:lineRule="auto"/>
      </w:pPr>
      <w:r>
        <w:separator/>
      </w:r>
    </w:p>
  </w:footnote>
  <w:footnote w:type="continuationSeparator" w:id="0">
    <w:p w14:paraId="39965D2F" w14:textId="77777777" w:rsidR="001B624C" w:rsidRDefault="001B624C" w:rsidP="0078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CF47" w14:textId="0084D635" w:rsidR="00783AB2" w:rsidRDefault="00783AB2" w:rsidP="00783AB2">
    <w:pPr>
      <w:pStyle w:val="Header"/>
      <w:jc w:val="center"/>
    </w:pPr>
    <w:r>
      <w:rPr>
        <w:noProof/>
      </w:rPr>
      <w:drawing>
        <wp:inline distT="0" distB="0" distL="0" distR="0" wp14:anchorId="031A6E33" wp14:editId="102182D1">
          <wp:extent cx="826186" cy="552450"/>
          <wp:effectExtent l="0" t="0" r="0" b="0"/>
          <wp:docPr id="644977902" name="Picture 1" descr="A bird in a wreath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77902" name="Picture 1" descr="A bird in a wreath of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6724" cy="552809"/>
                  </a:xfrm>
                  <a:prstGeom prst="rect">
                    <a:avLst/>
                  </a:prstGeom>
                </pic:spPr>
              </pic:pic>
            </a:graphicData>
          </a:graphic>
        </wp:inline>
      </w:drawing>
    </w:r>
  </w:p>
  <w:p w14:paraId="69B391FB" w14:textId="4946B930" w:rsidR="00783AB2" w:rsidRPr="00783AB2" w:rsidRDefault="00783AB2" w:rsidP="00783AB2">
    <w:pPr>
      <w:pStyle w:val="Header"/>
      <w:jc w:val="center"/>
      <w:rPr>
        <w:b/>
        <w:bCs/>
        <w:color w:val="EE0000"/>
      </w:rPr>
    </w:pPr>
    <w:r w:rsidRPr="00783AB2">
      <w:rPr>
        <w:b/>
        <w:bCs/>
        <w:color w:val="EE0000"/>
      </w:rPr>
      <w:t>The Robin Montessori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1B6A"/>
    <w:multiLevelType w:val="multilevel"/>
    <w:tmpl w:val="C07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85E3D"/>
    <w:multiLevelType w:val="multilevel"/>
    <w:tmpl w:val="446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34777"/>
    <w:multiLevelType w:val="multilevel"/>
    <w:tmpl w:val="A1D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F6E7D"/>
    <w:multiLevelType w:val="multilevel"/>
    <w:tmpl w:val="1B9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87422"/>
    <w:multiLevelType w:val="multilevel"/>
    <w:tmpl w:val="107C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5BCA"/>
    <w:multiLevelType w:val="multilevel"/>
    <w:tmpl w:val="1EF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5591C"/>
    <w:multiLevelType w:val="multilevel"/>
    <w:tmpl w:val="9BB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0718C"/>
    <w:multiLevelType w:val="multilevel"/>
    <w:tmpl w:val="6686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276A"/>
    <w:multiLevelType w:val="multilevel"/>
    <w:tmpl w:val="89CC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A604F"/>
    <w:multiLevelType w:val="multilevel"/>
    <w:tmpl w:val="F8CC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9373C"/>
    <w:multiLevelType w:val="multilevel"/>
    <w:tmpl w:val="8C0C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D5C17"/>
    <w:multiLevelType w:val="multilevel"/>
    <w:tmpl w:val="5BE0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860D1"/>
    <w:multiLevelType w:val="multilevel"/>
    <w:tmpl w:val="F68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A505B"/>
    <w:multiLevelType w:val="multilevel"/>
    <w:tmpl w:val="08FC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9662E"/>
    <w:multiLevelType w:val="multilevel"/>
    <w:tmpl w:val="8E42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B0B70"/>
    <w:multiLevelType w:val="multilevel"/>
    <w:tmpl w:val="E4EA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B41A0"/>
    <w:multiLevelType w:val="multilevel"/>
    <w:tmpl w:val="A52E8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B48E6"/>
    <w:multiLevelType w:val="multilevel"/>
    <w:tmpl w:val="B396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22984"/>
    <w:multiLevelType w:val="multilevel"/>
    <w:tmpl w:val="EB7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64044"/>
    <w:multiLevelType w:val="hybridMultilevel"/>
    <w:tmpl w:val="84FA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A7852"/>
    <w:multiLevelType w:val="multilevel"/>
    <w:tmpl w:val="785C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C3E80"/>
    <w:multiLevelType w:val="multilevel"/>
    <w:tmpl w:val="E16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242C8"/>
    <w:multiLevelType w:val="multilevel"/>
    <w:tmpl w:val="8E72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F74FD"/>
    <w:multiLevelType w:val="multilevel"/>
    <w:tmpl w:val="A61A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0969"/>
    <w:multiLevelType w:val="multilevel"/>
    <w:tmpl w:val="43FA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740725">
    <w:abstractNumId w:val="7"/>
  </w:num>
  <w:num w:numId="2" w16cid:durableId="276064992">
    <w:abstractNumId w:val="14"/>
  </w:num>
  <w:num w:numId="3" w16cid:durableId="1128737555">
    <w:abstractNumId w:val="16"/>
  </w:num>
  <w:num w:numId="4" w16cid:durableId="1850020526">
    <w:abstractNumId w:val="9"/>
  </w:num>
  <w:num w:numId="5" w16cid:durableId="513959463">
    <w:abstractNumId w:val="17"/>
  </w:num>
  <w:num w:numId="6" w16cid:durableId="1656252642">
    <w:abstractNumId w:val="6"/>
  </w:num>
  <w:num w:numId="7" w16cid:durableId="1718431627">
    <w:abstractNumId w:val="22"/>
  </w:num>
  <w:num w:numId="8" w16cid:durableId="1220554412">
    <w:abstractNumId w:val="1"/>
  </w:num>
  <w:num w:numId="9" w16cid:durableId="1465346384">
    <w:abstractNumId w:val="12"/>
  </w:num>
  <w:num w:numId="10" w16cid:durableId="1698116325">
    <w:abstractNumId w:val="24"/>
  </w:num>
  <w:num w:numId="11" w16cid:durableId="1599757562">
    <w:abstractNumId w:val="3"/>
  </w:num>
  <w:num w:numId="12" w16cid:durableId="887569900">
    <w:abstractNumId w:val="11"/>
  </w:num>
  <w:num w:numId="13" w16cid:durableId="1251037680">
    <w:abstractNumId w:val="10"/>
  </w:num>
  <w:num w:numId="14" w16cid:durableId="488911720">
    <w:abstractNumId w:val="5"/>
  </w:num>
  <w:num w:numId="15" w16cid:durableId="1246650918">
    <w:abstractNumId w:val="15"/>
  </w:num>
  <w:num w:numId="16" w16cid:durableId="1515343212">
    <w:abstractNumId w:val="4"/>
  </w:num>
  <w:num w:numId="17" w16cid:durableId="1773549273">
    <w:abstractNumId w:val="20"/>
  </w:num>
  <w:num w:numId="18" w16cid:durableId="159543181">
    <w:abstractNumId w:val="18"/>
  </w:num>
  <w:num w:numId="19" w16cid:durableId="653610401">
    <w:abstractNumId w:val="8"/>
  </w:num>
  <w:num w:numId="20" w16cid:durableId="814488016">
    <w:abstractNumId w:val="21"/>
  </w:num>
  <w:num w:numId="21" w16cid:durableId="617683503">
    <w:abstractNumId w:val="23"/>
  </w:num>
  <w:num w:numId="22" w16cid:durableId="1210191082">
    <w:abstractNumId w:val="2"/>
  </w:num>
  <w:num w:numId="23" w16cid:durableId="2051569683">
    <w:abstractNumId w:val="0"/>
  </w:num>
  <w:num w:numId="24" w16cid:durableId="9962569">
    <w:abstractNumId w:val="13"/>
  </w:num>
  <w:num w:numId="25" w16cid:durableId="789786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B2"/>
    <w:rsid w:val="000C0C98"/>
    <w:rsid w:val="001B624C"/>
    <w:rsid w:val="003B6A09"/>
    <w:rsid w:val="00617E1A"/>
    <w:rsid w:val="00783AB2"/>
    <w:rsid w:val="007D34FB"/>
    <w:rsid w:val="008315C2"/>
    <w:rsid w:val="00EF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F37B"/>
  <w15:chartTrackingRefBased/>
  <w15:docId w15:val="{AD8BE337-FA16-432A-BAF2-D70F372B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AB2"/>
    <w:rPr>
      <w:rFonts w:eastAsiaTheme="majorEastAsia" w:cstheme="majorBidi"/>
      <w:color w:val="272727" w:themeColor="text1" w:themeTint="D8"/>
    </w:rPr>
  </w:style>
  <w:style w:type="paragraph" w:styleId="Title">
    <w:name w:val="Title"/>
    <w:basedOn w:val="Normal"/>
    <w:next w:val="Normal"/>
    <w:link w:val="TitleChar"/>
    <w:uiPriority w:val="10"/>
    <w:qFormat/>
    <w:rsid w:val="00783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AB2"/>
    <w:pPr>
      <w:spacing w:before="160"/>
      <w:jc w:val="center"/>
    </w:pPr>
    <w:rPr>
      <w:i/>
      <w:iCs/>
      <w:color w:val="404040" w:themeColor="text1" w:themeTint="BF"/>
    </w:rPr>
  </w:style>
  <w:style w:type="character" w:customStyle="1" w:styleId="QuoteChar">
    <w:name w:val="Quote Char"/>
    <w:basedOn w:val="DefaultParagraphFont"/>
    <w:link w:val="Quote"/>
    <w:uiPriority w:val="29"/>
    <w:rsid w:val="00783AB2"/>
    <w:rPr>
      <w:i/>
      <w:iCs/>
      <w:color w:val="404040" w:themeColor="text1" w:themeTint="BF"/>
    </w:rPr>
  </w:style>
  <w:style w:type="paragraph" w:styleId="ListParagraph">
    <w:name w:val="List Paragraph"/>
    <w:basedOn w:val="Normal"/>
    <w:uiPriority w:val="34"/>
    <w:qFormat/>
    <w:rsid w:val="00783AB2"/>
    <w:pPr>
      <w:ind w:left="720"/>
      <w:contextualSpacing/>
    </w:pPr>
  </w:style>
  <w:style w:type="character" w:styleId="IntenseEmphasis">
    <w:name w:val="Intense Emphasis"/>
    <w:basedOn w:val="DefaultParagraphFont"/>
    <w:uiPriority w:val="21"/>
    <w:qFormat/>
    <w:rsid w:val="00783AB2"/>
    <w:rPr>
      <w:i/>
      <w:iCs/>
      <w:color w:val="0F4761" w:themeColor="accent1" w:themeShade="BF"/>
    </w:rPr>
  </w:style>
  <w:style w:type="paragraph" w:styleId="IntenseQuote">
    <w:name w:val="Intense Quote"/>
    <w:basedOn w:val="Normal"/>
    <w:next w:val="Normal"/>
    <w:link w:val="IntenseQuoteChar"/>
    <w:uiPriority w:val="30"/>
    <w:qFormat/>
    <w:rsid w:val="00783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AB2"/>
    <w:rPr>
      <w:i/>
      <w:iCs/>
      <w:color w:val="0F4761" w:themeColor="accent1" w:themeShade="BF"/>
    </w:rPr>
  </w:style>
  <w:style w:type="character" w:styleId="IntenseReference">
    <w:name w:val="Intense Reference"/>
    <w:basedOn w:val="DefaultParagraphFont"/>
    <w:uiPriority w:val="32"/>
    <w:qFormat/>
    <w:rsid w:val="00783AB2"/>
    <w:rPr>
      <w:b/>
      <w:bCs/>
      <w:smallCaps/>
      <w:color w:val="0F4761" w:themeColor="accent1" w:themeShade="BF"/>
      <w:spacing w:val="5"/>
    </w:rPr>
  </w:style>
  <w:style w:type="paragraph" w:styleId="Header">
    <w:name w:val="header"/>
    <w:basedOn w:val="Normal"/>
    <w:link w:val="HeaderChar"/>
    <w:uiPriority w:val="99"/>
    <w:unhideWhenUsed/>
    <w:rsid w:val="0078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AB2"/>
  </w:style>
  <w:style w:type="paragraph" w:styleId="Footer">
    <w:name w:val="footer"/>
    <w:basedOn w:val="Normal"/>
    <w:link w:val="FooterChar"/>
    <w:uiPriority w:val="99"/>
    <w:unhideWhenUsed/>
    <w:rsid w:val="0078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Mugnai</dc:creator>
  <cp:keywords/>
  <dc:description/>
  <cp:lastModifiedBy>Agnese Mugnai</cp:lastModifiedBy>
  <cp:revision>1</cp:revision>
  <cp:lastPrinted>2025-10-07T09:00:00Z</cp:lastPrinted>
  <dcterms:created xsi:type="dcterms:W3CDTF">2025-10-07T08:52:00Z</dcterms:created>
  <dcterms:modified xsi:type="dcterms:W3CDTF">2025-10-07T09:04:00Z</dcterms:modified>
</cp:coreProperties>
</file>